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80239B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80239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80239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80239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80239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80239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80239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80239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05C2BBD6" w:rsidR="004208D3" w:rsidRPr="0080239B" w:rsidRDefault="00AD3974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24</w:t>
            </w:r>
            <w:r w:rsidR="00DA7A3F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B46AF8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80239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721A714B" w:rsidR="004208D3" w:rsidRPr="0080239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DA7A3F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AD3974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55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80239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3704D54A" w:rsidR="007B5BBB" w:rsidRPr="0080239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80239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5275EA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BD0027">
        <w:rPr>
          <w:rStyle w:val="2211"/>
          <w:rFonts w:ascii="Times New Roman" w:hAnsi="Times New Roman"/>
          <w:color w:val="000000"/>
          <w:sz w:val="28"/>
          <w:szCs w:val="28"/>
        </w:rPr>
        <w:t>відділу Дніпропетровської обласної прокуратури Калюжної Вікторії Юріївни</w:t>
      </w:r>
      <w:r w:rsidR="00294089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(далі – прокурор</w:t>
      </w:r>
      <w:r w:rsidR="00DA7A3F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BD0027">
        <w:rPr>
          <w:rStyle w:val="2211"/>
          <w:rFonts w:ascii="Times New Roman" w:hAnsi="Times New Roman"/>
          <w:color w:val="000000"/>
          <w:sz w:val="28"/>
          <w:szCs w:val="28"/>
        </w:rPr>
        <w:t>Калюжна В.Ю., Калюжна В.Ю.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80239B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80239B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80239B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1090BB1D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80239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80239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5275EA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B266E1" w:rsidRPr="0080239B">
        <w:rPr>
          <w:rFonts w:ascii="Times New Roman" w:hAnsi="Times New Roman"/>
          <w:sz w:val="28"/>
          <w:szCs w:val="28"/>
        </w:rPr>
        <w:t>(далі – скаржни</w:t>
      </w:r>
      <w:r w:rsidR="00B46AF8">
        <w:rPr>
          <w:rFonts w:ascii="Times New Roman" w:hAnsi="Times New Roman"/>
          <w:sz w:val="28"/>
          <w:szCs w:val="28"/>
        </w:rPr>
        <w:t>ця)</w:t>
      </w:r>
      <w:r w:rsidR="00B266E1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BD0027">
        <w:rPr>
          <w:rStyle w:val="2211"/>
          <w:rFonts w:ascii="Times New Roman" w:hAnsi="Times New Roman"/>
          <w:color w:val="000000"/>
          <w:sz w:val="28"/>
          <w:szCs w:val="28"/>
        </w:rPr>
        <w:t>Калюжною В.Ю.</w:t>
      </w:r>
    </w:p>
    <w:p w14:paraId="65F3F4E7" w14:textId="0815DF57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BD0027">
        <w:rPr>
          <w:rFonts w:ascii="Times New Roman" w:hAnsi="Times New Roman"/>
          <w:sz w:val="28"/>
          <w:szCs w:val="28"/>
        </w:rPr>
        <w:t>14</w:t>
      </w:r>
      <w:r w:rsidR="00DA7A3F">
        <w:rPr>
          <w:rFonts w:ascii="Times New Roman" w:hAnsi="Times New Roman"/>
          <w:sz w:val="28"/>
          <w:szCs w:val="28"/>
        </w:rPr>
        <w:t>.07</w:t>
      </w:r>
      <w:r w:rsidRPr="0080239B">
        <w:rPr>
          <w:rFonts w:ascii="Times New Roman" w:hAnsi="Times New Roman"/>
          <w:sz w:val="28"/>
          <w:szCs w:val="28"/>
        </w:rPr>
        <w:t>.202</w:t>
      </w:r>
      <w:r w:rsidR="005476B6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049C5E9E" w14:textId="4B8715BF" w:rsidR="00BD0027" w:rsidRPr="00C3436D" w:rsidRDefault="00F252B0" w:rsidP="00C3436D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Зміст скарги</w:t>
      </w:r>
    </w:p>
    <w:p w14:paraId="59F6C70E" w14:textId="78CA27A7" w:rsidR="00BD0027" w:rsidRDefault="00BD0027" w:rsidP="00BD002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Pr="005476B6">
        <w:rPr>
          <w:rFonts w:ascii="Times New Roman" w:hAnsi="Times New Roman"/>
          <w:sz w:val="28"/>
          <w:szCs w:val="28"/>
        </w:rPr>
        <w:t>, 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211"/>
          <w:rFonts w:ascii="Times New Roman" w:hAnsi="Times New Roman"/>
          <w:sz w:val="28"/>
          <w:szCs w:val="28"/>
        </w:rPr>
        <w:t>на думку скаржниці</w:t>
      </w:r>
      <w:r w:rsidRPr="005476B6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 xml:space="preserve">ор Калюжна В.Ю. неналежним чином здійснює </w:t>
      </w:r>
      <w:r>
        <w:rPr>
          <w:rStyle w:val="2211"/>
          <w:rFonts w:ascii="Times New Roman" w:hAnsi="Times New Roman"/>
          <w:sz w:val="28"/>
          <w:szCs w:val="28"/>
        </w:rPr>
        <w:t>свої функції під час</w:t>
      </w:r>
      <w:r>
        <w:rPr>
          <w:rFonts w:ascii="Times New Roman" w:hAnsi="Times New Roman"/>
          <w:sz w:val="28"/>
          <w:szCs w:val="28"/>
        </w:rPr>
        <w:t xml:space="preserve"> процесуального керівництва у кримінальному провадженні                                                      № </w:t>
      </w:r>
      <w:r w:rsidR="005275EA" w:rsidRPr="005275EA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>.</w:t>
      </w:r>
    </w:p>
    <w:p w14:paraId="5757A754" w14:textId="77777777" w:rsidR="00BD0027" w:rsidRPr="0080239B" w:rsidRDefault="00BD0027" w:rsidP="00BD002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6B0C2227" w14:textId="0D1472AE" w:rsidR="00C3436D" w:rsidRDefault="00BD0027" w:rsidP="00C3436D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>За таких обставин скаржни</w:t>
      </w:r>
      <w:r>
        <w:rPr>
          <w:rFonts w:ascii="Times New Roman" w:hAnsi="Times New Roman"/>
          <w:sz w:val="28"/>
          <w:szCs w:val="28"/>
          <w:lang w:eastAsia="ru-RU"/>
        </w:rPr>
        <w:t>ця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 вважа</w:t>
      </w:r>
      <w:r>
        <w:rPr>
          <w:rFonts w:ascii="Times New Roman" w:hAnsi="Times New Roman"/>
          <w:sz w:val="28"/>
          <w:szCs w:val="28"/>
          <w:lang w:eastAsia="ru-RU"/>
        </w:rPr>
        <w:t>є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>
        <w:rPr>
          <w:rFonts w:ascii="Times New Roman" w:hAnsi="Times New Roman"/>
          <w:sz w:val="28"/>
          <w:szCs w:val="28"/>
        </w:rPr>
        <w:t xml:space="preserve">прокурора Калюжної В.Ю.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пунктами 5, 6, </w:t>
      </w:r>
      <w:r w:rsidRPr="00CE23A4"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r w:rsidRPr="00C31DB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5FD1A1A" w14:textId="77777777" w:rsidR="00C3436D" w:rsidRDefault="00C3436D" w:rsidP="00C3436D">
      <w:pPr>
        <w:pStyle w:val="ae"/>
        <w:spacing w:before="20" w:after="4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61E1630" w14:textId="185A29AA" w:rsidR="00F252B0" w:rsidRDefault="00F252B0" w:rsidP="00C3436D">
      <w:pPr>
        <w:pStyle w:val="ae"/>
        <w:spacing w:before="20" w:after="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31A39881" w14:textId="77777777" w:rsidR="00C3436D" w:rsidRPr="00C3436D" w:rsidRDefault="00C3436D" w:rsidP="00C3436D">
      <w:pPr>
        <w:pStyle w:val="ae"/>
        <w:spacing w:before="20" w:after="4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BEAB6D" w14:textId="26C5ACAF" w:rsidR="00C3436D" w:rsidRPr="00C3436D" w:rsidRDefault="00F252B0" w:rsidP="00C3436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80239B">
        <w:rPr>
          <w:rFonts w:ascii="Times New Roman" w:hAnsi="Times New Roman"/>
          <w:sz w:val="28"/>
          <w:szCs w:val="28"/>
        </w:rPr>
        <w:t>ії:</w:t>
      </w:r>
      <w:r w:rsidR="007113C4" w:rsidRPr="0080239B">
        <w:rPr>
          <w:rFonts w:ascii="Times New Roman" w:hAnsi="Times New Roman"/>
          <w:sz w:val="28"/>
          <w:szCs w:val="28"/>
        </w:rPr>
        <w:t xml:space="preserve"> </w:t>
      </w:r>
      <w:r w:rsidR="000933FD">
        <w:rPr>
          <w:rFonts w:ascii="Times New Roman" w:hAnsi="Times New Roman"/>
          <w:sz w:val="28"/>
          <w:szCs w:val="28"/>
        </w:rPr>
        <w:t>листа-відповіді від</w:t>
      </w:r>
      <w:r w:rsidR="00C3436D">
        <w:rPr>
          <w:rFonts w:ascii="Times New Roman" w:hAnsi="Times New Roman"/>
          <w:sz w:val="28"/>
          <w:szCs w:val="28"/>
        </w:rPr>
        <w:t xml:space="preserve"> 13.05.2026 слідчого СВ ТУ ДБР у м. Полтаві щодо відсутності ознак злочину в зверненні поданому скаржницею; листа від 17.07.2026 з Дніпропетровської обласної прокуратури щодо виклику скаржниці для допиту у кримінальному провадженні № </w:t>
      </w:r>
      <w:r w:rsidR="005275EA" w:rsidRPr="005275EA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C3436D">
        <w:rPr>
          <w:rFonts w:ascii="Times New Roman" w:hAnsi="Times New Roman"/>
          <w:sz w:val="28"/>
          <w:szCs w:val="28"/>
        </w:rPr>
        <w:t xml:space="preserve">; повістка про виклик скаржниці у кримінальному провадженні № </w:t>
      </w:r>
      <w:r w:rsidR="005275EA" w:rsidRPr="005275EA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C3436D">
        <w:rPr>
          <w:rFonts w:ascii="Times New Roman" w:hAnsi="Times New Roman"/>
          <w:sz w:val="28"/>
          <w:szCs w:val="28"/>
        </w:rPr>
        <w:t xml:space="preserve">; заява від скаржниці до Дніпропетровської обласної прокуратури про наявність поважних причин неприбуття на виклик; скріншот з електронної пошти </w:t>
      </w:r>
      <w:r w:rsidR="00C3436D">
        <w:rPr>
          <w:rFonts w:ascii="Times New Roman" w:hAnsi="Times New Roman"/>
          <w:sz w:val="28"/>
          <w:szCs w:val="28"/>
          <w:lang w:val="en-US"/>
        </w:rPr>
        <w:t>Gmail</w:t>
      </w:r>
      <w:r w:rsidR="00C3436D">
        <w:rPr>
          <w:rFonts w:ascii="Times New Roman" w:hAnsi="Times New Roman"/>
          <w:sz w:val="28"/>
          <w:szCs w:val="28"/>
        </w:rPr>
        <w:t xml:space="preserve">; </w:t>
      </w:r>
      <w:r w:rsidR="00270C1A">
        <w:rPr>
          <w:rFonts w:ascii="Times New Roman" w:hAnsi="Times New Roman"/>
          <w:sz w:val="28"/>
          <w:szCs w:val="28"/>
        </w:rPr>
        <w:t>додаткові пояснення скаржниці до  центрального районного суду міста Дніпра; листа-відповіді від 01.05.2026 з Офісу Генерального прокурора про надання інформації; заява скаржниці про вчинення кримінального правопорушення до ТУ ДБР у місті Полтава; скарга на бездіяльність слідчого до Центрального районного суду міста Дніпра повідомлення скаржниці в НАЗК щодо прокурора Калюжної В.Ю.; додаткові пояснення скаржниці до Центрального районного суду міста Дніпра.</w:t>
      </w:r>
    </w:p>
    <w:p w14:paraId="6CB13E76" w14:textId="05CC5C61" w:rsidR="004208D3" w:rsidRPr="0080239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80239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80239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8023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80239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80239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80239B" w:rsidRDefault="001C0DF5" w:rsidP="008156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</w:t>
      </w:r>
      <w:r w:rsidRPr="0080239B">
        <w:rPr>
          <w:b/>
          <w:bCs/>
          <w:sz w:val="28"/>
          <w:szCs w:val="28"/>
          <w:lang w:val="uk-UA"/>
        </w:rPr>
        <w:t>прокурора</w:t>
      </w:r>
      <w:r w:rsidRPr="0080239B">
        <w:rPr>
          <w:sz w:val="28"/>
          <w:szCs w:val="28"/>
          <w:lang w:val="uk-UA"/>
        </w:rPr>
        <w:t>:</w:t>
      </w:r>
    </w:p>
    <w:p w14:paraId="0E86D9DC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80239B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</w:t>
      </w:r>
      <w:r w:rsidRPr="0080239B">
        <w:rPr>
          <w:sz w:val="28"/>
          <w:szCs w:val="28"/>
          <w:lang w:val="uk-UA"/>
        </w:rPr>
        <w:lastRenderedPageBreak/>
        <w:t>вимогами </w:t>
      </w:r>
      <w:hyperlink r:id="rId10" w:anchor="n1656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80239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80239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80239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80239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80239B">
        <w:rPr>
          <w:sz w:val="28"/>
          <w:szCs w:val="28"/>
          <w:lang w:val="uk-UA"/>
        </w:rPr>
        <w:t xml:space="preserve">5) </w:t>
      </w:r>
      <w:r w:rsidRPr="00270C1A">
        <w:rPr>
          <w:sz w:val="28"/>
          <w:szCs w:val="28"/>
          <w:lang w:val="uk-UA"/>
        </w:rPr>
        <w:t xml:space="preserve">рішення прокурора, слідчого, </w:t>
      </w:r>
      <w:proofErr w:type="spellStart"/>
      <w:r w:rsidRPr="00270C1A">
        <w:rPr>
          <w:sz w:val="28"/>
          <w:szCs w:val="28"/>
          <w:lang w:val="uk-UA"/>
        </w:rPr>
        <w:t>дізнавача</w:t>
      </w:r>
      <w:proofErr w:type="spellEnd"/>
      <w:r w:rsidRPr="00270C1A">
        <w:rPr>
          <w:sz w:val="28"/>
          <w:szCs w:val="28"/>
          <w:lang w:val="uk-UA"/>
        </w:rPr>
        <w:t xml:space="preserve"> про відмову у визнанні потерпілим;</w:t>
      </w:r>
    </w:p>
    <w:p w14:paraId="060A78C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0239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80239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80239B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80239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80239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80239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80239B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80239B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</w:t>
      </w:r>
      <w:r w:rsidRPr="0080239B">
        <w:rPr>
          <w:rFonts w:ascii="Times New Roman" w:hAnsi="Times New Roman"/>
          <w:sz w:val="28"/>
          <w:szCs w:val="28"/>
        </w:rPr>
        <w:lastRenderedPageBreak/>
        <w:t>грубе порушення правил прокурорської етики;</w:t>
      </w:r>
    </w:p>
    <w:p w14:paraId="320F632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80239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80239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80239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80239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80239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80239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80239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80239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80239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80239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80239B">
        <w:rPr>
          <w:rFonts w:ascii="Times New Roman" w:hAnsi="Times New Roman"/>
          <w:sz w:val="28"/>
          <w:szCs w:val="28"/>
        </w:rPr>
        <w:t>ний</w:t>
      </w:r>
      <w:r w:rsidRPr="0080239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lastRenderedPageBreak/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80239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80239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018CA87C" w:rsidR="00510FA3" w:rsidRPr="0080239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</w:p>
    <w:p w14:paraId="3609244E" w14:textId="77777777" w:rsidR="00A005B2" w:rsidRPr="0080239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80239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39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4422C81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5275EA">
        <w:rPr>
          <w:rFonts w:ascii="Times New Roman" w:hAnsi="Times New Roman"/>
          <w:sz w:val="28"/>
          <w:szCs w:val="28"/>
        </w:rPr>
        <w:t>ОСОБА 1</w:t>
      </w:r>
      <w:r w:rsidR="007773CB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80239B">
        <w:rPr>
          <w:rFonts w:ascii="Times New Roman" w:hAnsi="Times New Roman"/>
          <w:sz w:val="28"/>
          <w:szCs w:val="28"/>
        </w:rPr>
        <w:t xml:space="preserve"> / </w:t>
      </w:r>
      <w:r w:rsidRPr="0080239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80239B">
        <w:rPr>
          <w:rFonts w:ascii="Times New Roman" w:hAnsi="Times New Roman"/>
          <w:sz w:val="28"/>
          <w:szCs w:val="28"/>
        </w:rPr>
        <w:t>прокурора</w:t>
      </w:r>
      <w:r w:rsidR="00572AA4" w:rsidRPr="0080239B">
        <w:rPr>
          <w:rFonts w:ascii="Times New Roman" w:hAnsi="Times New Roman"/>
          <w:sz w:val="28"/>
          <w:szCs w:val="28"/>
        </w:rPr>
        <w:t xml:space="preserve"> </w:t>
      </w:r>
      <w:r w:rsidR="00270C1A">
        <w:rPr>
          <w:rFonts w:ascii="Times New Roman" w:hAnsi="Times New Roman"/>
          <w:sz w:val="28"/>
          <w:szCs w:val="28"/>
        </w:rPr>
        <w:t>Калюжної В.Ю.</w:t>
      </w:r>
      <w:r w:rsidRPr="0080239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72DF80A" w14:textId="0BCB35B6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lastRenderedPageBreak/>
        <w:t xml:space="preserve">Водночас дисциплінарна скарга не містить відомостей, які б підтверджували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80239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3010A9" w:rsidRPr="0080239B">
        <w:rPr>
          <w:rFonts w:ascii="Times New Roman" w:hAnsi="Times New Roman"/>
          <w:sz w:val="28"/>
          <w:szCs w:val="28"/>
        </w:rPr>
        <w:t>а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B979EE">
        <w:rPr>
          <w:rFonts w:ascii="Times New Roman" w:hAnsi="Times New Roman"/>
          <w:sz w:val="28"/>
          <w:szCs w:val="28"/>
        </w:rPr>
        <w:t>Калюжної В.Ю.</w:t>
      </w:r>
      <w:r w:rsidR="003010A9" w:rsidRPr="0080239B">
        <w:rPr>
          <w:rFonts w:ascii="Times New Roman" w:hAnsi="Times New Roman"/>
          <w:sz w:val="28"/>
          <w:szCs w:val="28"/>
        </w:rPr>
        <w:t xml:space="preserve"> під час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80239B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</w:t>
      </w:r>
      <w:r w:rsidRPr="00ED63AB">
        <w:rPr>
          <w:rFonts w:ascii="Times New Roman" w:hAnsi="Times New Roman"/>
          <w:b/>
          <w:bCs/>
          <w:sz w:val="28"/>
          <w:szCs w:val="28"/>
        </w:rPr>
        <w:t>до неї не долучено копій документів, якими дії чи бездіяльність</w:t>
      </w:r>
      <w:r w:rsidR="00CE415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ED63AB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70C1A">
        <w:rPr>
          <w:rFonts w:ascii="Times New Roman" w:hAnsi="Times New Roman"/>
          <w:b/>
          <w:bCs/>
          <w:sz w:val="28"/>
          <w:szCs w:val="28"/>
        </w:rPr>
        <w:t>Калюжної В.Ю.</w:t>
      </w:r>
      <w:r w:rsidR="00FC419C" w:rsidRPr="0080239B">
        <w:rPr>
          <w:rFonts w:ascii="Times New Roman" w:hAnsi="Times New Roman"/>
          <w:sz w:val="28"/>
          <w:szCs w:val="28"/>
        </w:rPr>
        <w:t xml:space="preserve"> </w:t>
      </w:r>
      <w:r w:rsidR="001C0DF5" w:rsidRPr="0080239B">
        <w:rPr>
          <w:rFonts w:ascii="Times New Roman" w:hAnsi="Times New Roman"/>
          <w:sz w:val="28"/>
          <w:szCs w:val="28"/>
        </w:rPr>
        <w:t xml:space="preserve">слідчим суддею, </w:t>
      </w:r>
      <w:r w:rsidRPr="0080239B">
        <w:rPr>
          <w:rFonts w:ascii="Times New Roman" w:hAnsi="Times New Roman"/>
          <w:sz w:val="28"/>
          <w:szCs w:val="28"/>
        </w:rPr>
        <w:t>судом</w:t>
      </w:r>
      <w:r w:rsidR="008156CA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</w:t>
      </w:r>
      <w:r w:rsidR="00B46AF8">
        <w:rPr>
          <w:rFonts w:ascii="Times New Roman" w:hAnsi="Times New Roman"/>
          <w:b/>
          <w:bCs/>
          <w:sz w:val="28"/>
          <w:szCs w:val="28"/>
        </w:rPr>
        <w:t>ею</w:t>
      </w:r>
      <w:r w:rsidR="00801680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28FA5E7D" w:rsidR="00A005B2" w:rsidRPr="0080239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Також </w:t>
      </w:r>
      <w:r w:rsidR="00486684" w:rsidRPr="0080239B">
        <w:rPr>
          <w:rFonts w:ascii="Times New Roman" w:hAnsi="Times New Roman"/>
          <w:sz w:val="28"/>
          <w:szCs w:val="28"/>
        </w:rPr>
        <w:t>скаржни</w:t>
      </w:r>
      <w:r w:rsidR="00B46AF8">
        <w:rPr>
          <w:rFonts w:ascii="Times New Roman" w:hAnsi="Times New Roman"/>
          <w:sz w:val="28"/>
          <w:szCs w:val="28"/>
        </w:rPr>
        <w:t xml:space="preserve">ця </w:t>
      </w:r>
      <w:r w:rsidR="00486684" w:rsidRPr="0080239B">
        <w:rPr>
          <w:rFonts w:ascii="Times New Roman" w:hAnsi="Times New Roman"/>
          <w:sz w:val="28"/>
          <w:szCs w:val="28"/>
        </w:rPr>
        <w:t>наділен</w:t>
      </w:r>
      <w:r w:rsidR="00B46AF8">
        <w:rPr>
          <w:rFonts w:ascii="Times New Roman" w:hAnsi="Times New Roman"/>
          <w:sz w:val="28"/>
          <w:szCs w:val="28"/>
        </w:rPr>
        <w:t>а</w:t>
      </w:r>
      <w:r w:rsidR="00486684" w:rsidRPr="0080239B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80239B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України.</w:t>
      </w:r>
      <w:r w:rsidR="00486684" w:rsidRPr="0080239B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801680" w:rsidRPr="0080239B">
        <w:rPr>
          <w:rFonts w:ascii="Times New Roman" w:hAnsi="Times New Roman"/>
          <w:sz w:val="28"/>
          <w:szCs w:val="28"/>
        </w:rPr>
        <w:t xml:space="preserve">до </w:t>
      </w:r>
      <w:r w:rsidR="00486684" w:rsidRPr="0080239B">
        <w:rPr>
          <w:rFonts w:ascii="Times New Roman" w:hAnsi="Times New Roman"/>
          <w:sz w:val="28"/>
          <w:szCs w:val="28"/>
        </w:rPr>
        <w:t>висновку, що скаржни</w:t>
      </w:r>
      <w:r w:rsidR="00B46AF8">
        <w:rPr>
          <w:rFonts w:ascii="Times New Roman" w:hAnsi="Times New Roman"/>
          <w:sz w:val="28"/>
          <w:szCs w:val="28"/>
        </w:rPr>
        <w:t>цею</w:t>
      </w:r>
      <w:r w:rsidR="00486684" w:rsidRPr="0080239B">
        <w:rPr>
          <w:rFonts w:ascii="Times New Roman" w:hAnsi="Times New Roman"/>
          <w:sz w:val="28"/>
          <w:szCs w:val="28"/>
        </w:rPr>
        <w:t xml:space="preserve"> наразі не використано такого права.</w:t>
      </w:r>
    </w:p>
    <w:p w14:paraId="50899D73" w14:textId="77777777" w:rsidR="00C6584E" w:rsidRDefault="00486684" w:rsidP="00C6584E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80239B">
        <w:rPr>
          <w:rFonts w:ascii="Times New Roman" w:hAnsi="Times New Roman"/>
          <w:sz w:val="28"/>
          <w:szCs w:val="28"/>
        </w:rPr>
        <w:t xml:space="preserve">прокурора </w:t>
      </w:r>
      <w:r w:rsidR="00B979EE">
        <w:rPr>
          <w:rFonts w:ascii="Times New Roman" w:hAnsi="Times New Roman"/>
          <w:sz w:val="28"/>
          <w:szCs w:val="28"/>
        </w:rPr>
        <w:t>Калюжної В.Ю.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80239B">
        <w:rPr>
          <w:rFonts w:ascii="Times New Roman" w:hAnsi="Times New Roman"/>
          <w:sz w:val="28"/>
          <w:szCs w:val="28"/>
        </w:rPr>
        <w:t>н</w:t>
      </w:r>
      <w:r w:rsidR="00B46AF8">
        <w:rPr>
          <w:rFonts w:ascii="Times New Roman" w:hAnsi="Times New Roman"/>
          <w:sz w:val="28"/>
          <w:szCs w:val="28"/>
        </w:rPr>
        <w:t>ею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</w:t>
      </w:r>
      <w:r w:rsidR="008156CA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</w:rPr>
        <w:t>Комісі</w:t>
      </w:r>
      <w:r w:rsidR="008156CA"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позбавлен</w:t>
      </w:r>
      <w:r w:rsidR="008156CA">
        <w:rPr>
          <w:rFonts w:ascii="Times New Roman" w:hAnsi="Times New Roman"/>
          <w:sz w:val="28"/>
          <w:szCs w:val="28"/>
        </w:rPr>
        <w:t>ий</w:t>
      </w:r>
      <w:r w:rsidRPr="0080239B">
        <w:rPr>
          <w:rFonts w:ascii="Times New Roman" w:hAnsi="Times New Roman"/>
          <w:sz w:val="28"/>
          <w:szCs w:val="28"/>
        </w:rPr>
        <w:t xml:space="preserve"> можливості надавати оцінку діяльності прокурора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="00824957" w:rsidRPr="0080239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80239B">
        <w:rPr>
          <w:rFonts w:ascii="Times New Roman" w:hAnsi="Times New Roman"/>
          <w:sz w:val="28"/>
          <w:szCs w:val="28"/>
        </w:rPr>
        <w:t xml:space="preserve"> </w:t>
      </w:r>
      <w:r w:rsidR="00CE415E" w:rsidRPr="0080239B">
        <w:rPr>
          <w:rFonts w:ascii="Times New Roman" w:hAnsi="Times New Roman"/>
          <w:sz w:val="28"/>
          <w:szCs w:val="28"/>
        </w:rPr>
        <w:t>в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10B1DF38" w14:textId="77777777" w:rsidR="00C6584E" w:rsidRDefault="00C6584E" w:rsidP="00C6584E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Щодо можливого вчинення прокурором </w:t>
      </w:r>
      <w:r>
        <w:rPr>
          <w:rFonts w:ascii="Times New Roman" w:hAnsi="Times New Roman"/>
          <w:sz w:val="28"/>
          <w:szCs w:val="28"/>
        </w:rPr>
        <w:t>Калюжною В.Ю.</w:t>
      </w:r>
      <w:r w:rsidRPr="00C502B8">
        <w:rPr>
          <w:rFonts w:ascii="Times New Roman" w:hAnsi="Times New Roman"/>
          <w:sz w:val="28"/>
          <w:szCs w:val="28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</w:t>
      </w:r>
      <w:r>
        <w:rPr>
          <w:rFonts w:ascii="Times New Roman" w:hAnsi="Times New Roman"/>
          <w:sz w:val="28"/>
          <w:szCs w:val="28"/>
        </w:rPr>
        <w:t>слід</w:t>
      </w:r>
      <w:r w:rsidRPr="00C502B8">
        <w:rPr>
          <w:rFonts w:ascii="Times New Roman" w:hAnsi="Times New Roman"/>
          <w:sz w:val="28"/>
          <w:szCs w:val="28"/>
        </w:rPr>
        <w:t xml:space="preserve"> зазначити наступне.</w:t>
      </w:r>
    </w:p>
    <w:p w14:paraId="2A2AE103" w14:textId="77777777" w:rsidR="00C6584E" w:rsidRDefault="00C6584E" w:rsidP="00C6584E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B6DB0AF" w14:textId="38CE0284" w:rsidR="00A005B2" w:rsidRPr="0080239B" w:rsidRDefault="00C6584E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відомостей, які б вказали на можливе вчинення прокурором </w:t>
      </w:r>
      <w:r>
        <w:rPr>
          <w:rFonts w:ascii="Times New Roman" w:hAnsi="Times New Roman"/>
          <w:sz w:val="28"/>
          <w:szCs w:val="28"/>
        </w:rPr>
        <w:t xml:space="preserve">Калюжною В.Ю. </w:t>
      </w:r>
      <w:r>
        <w:rPr>
          <w:rFonts w:ascii="Times New Roman" w:hAnsi="Times New Roman"/>
          <w:sz w:val="28"/>
          <w:szCs w:val="28"/>
        </w:rPr>
        <w:lastRenderedPageBreak/>
        <w:t>вищезазначених дій</w:t>
      </w:r>
      <w:r w:rsidRPr="00C502B8">
        <w:rPr>
          <w:rFonts w:ascii="Times New Roman" w:hAnsi="Times New Roman"/>
          <w:sz w:val="28"/>
          <w:szCs w:val="28"/>
        </w:rPr>
        <w:t>.</w:t>
      </w:r>
      <w:r w:rsidR="00044D59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2B3BCFD5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B46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ця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таких відомостей не нада</w:t>
      </w:r>
      <w:r w:rsidR="00B46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80239B">
        <w:rPr>
          <w:rFonts w:ascii="Times New Roman" w:hAnsi="Times New Roman"/>
          <w:sz w:val="28"/>
          <w:szCs w:val="28"/>
        </w:rPr>
        <w:t>прокурором</w:t>
      </w:r>
      <w:r w:rsidR="00351597"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80239B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80239B">
        <w:rPr>
          <w:rFonts w:ascii="Times New Roman" w:hAnsi="Times New Roman"/>
          <w:b/>
          <w:sz w:val="28"/>
          <w:szCs w:val="28"/>
        </w:rPr>
        <w:t>Л А</w:t>
      </w:r>
      <w:r w:rsidRPr="0080239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80239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2EC524C" w14:textId="4972EC35" w:rsidR="00ED63A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3B439F" w:rsidRPr="0080239B">
        <w:rPr>
          <w:rFonts w:ascii="Times New Roman" w:hAnsi="Times New Roman"/>
          <w:sz w:val="28"/>
          <w:szCs w:val="28"/>
        </w:rPr>
        <w:t xml:space="preserve">стосовно </w:t>
      </w:r>
      <w:r w:rsidR="005F66ED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B979EE">
        <w:rPr>
          <w:rStyle w:val="2211"/>
          <w:rFonts w:ascii="Times New Roman" w:hAnsi="Times New Roman"/>
          <w:color w:val="000000"/>
          <w:sz w:val="28"/>
          <w:szCs w:val="28"/>
        </w:rPr>
        <w:t>відділу Дніпропетровської обласної прокуратури Калюжної Вікторії Юріївни</w:t>
      </w:r>
      <w:r w:rsidR="00805CE2">
        <w:rPr>
          <w:rStyle w:val="2211"/>
          <w:rFonts w:ascii="Times New Roman" w:hAnsi="Times New Roman"/>
          <w:color w:val="000000"/>
          <w:sz w:val="28"/>
          <w:szCs w:val="28"/>
        </w:rPr>
        <w:t>.</w:t>
      </w:r>
      <w:r w:rsidR="00ED63AB" w:rsidRPr="0080239B">
        <w:rPr>
          <w:rFonts w:ascii="Times New Roman" w:hAnsi="Times New Roman"/>
          <w:sz w:val="28"/>
          <w:szCs w:val="28"/>
        </w:rPr>
        <w:t xml:space="preserve"> </w:t>
      </w:r>
    </w:p>
    <w:p w14:paraId="7AE822AF" w14:textId="22066142" w:rsidR="004208D3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80239B">
        <w:rPr>
          <w:rFonts w:ascii="Times New Roman" w:hAnsi="Times New Roman"/>
          <w:sz w:val="28"/>
          <w:szCs w:val="28"/>
        </w:rPr>
        <w:t xml:space="preserve"> та прокурору</w:t>
      </w:r>
      <w:r w:rsidR="00ED63AB">
        <w:rPr>
          <w:rFonts w:ascii="Times New Roman" w:hAnsi="Times New Roman"/>
          <w:sz w:val="28"/>
          <w:szCs w:val="28"/>
        </w:rPr>
        <w:t>.</w:t>
      </w:r>
    </w:p>
    <w:p w14:paraId="0684BA1E" w14:textId="77777777" w:rsidR="00BE2378" w:rsidRPr="0080239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80239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80239B" w:rsidSect="00F93F96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4992" w14:textId="77777777" w:rsidR="007810DF" w:rsidRDefault="007810DF">
      <w:pPr>
        <w:spacing w:after="0" w:line="240" w:lineRule="auto"/>
      </w:pPr>
      <w:r>
        <w:separator/>
      </w:r>
    </w:p>
  </w:endnote>
  <w:endnote w:type="continuationSeparator" w:id="0">
    <w:p w14:paraId="52574B3F" w14:textId="77777777" w:rsidR="007810DF" w:rsidRDefault="007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D572" w14:textId="77777777" w:rsidR="007810DF" w:rsidRDefault="007810DF">
      <w:pPr>
        <w:spacing w:after="0" w:line="240" w:lineRule="auto"/>
      </w:pPr>
      <w:r>
        <w:separator/>
      </w:r>
    </w:p>
  </w:footnote>
  <w:footnote w:type="continuationSeparator" w:id="0">
    <w:p w14:paraId="1881E7E1" w14:textId="77777777" w:rsidR="007810DF" w:rsidRDefault="0078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4EE9E96D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4E" w:rsidRPr="00C6584E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8080485">
    <w:abstractNumId w:val="0"/>
  </w:num>
  <w:num w:numId="2" w16cid:durableId="52640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1E20"/>
    <w:rsid w:val="000933FD"/>
    <w:rsid w:val="000B5358"/>
    <w:rsid w:val="000B66F3"/>
    <w:rsid w:val="00104C21"/>
    <w:rsid w:val="00110B22"/>
    <w:rsid w:val="001262FB"/>
    <w:rsid w:val="00126F77"/>
    <w:rsid w:val="00127DDD"/>
    <w:rsid w:val="00133562"/>
    <w:rsid w:val="001504DF"/>
    <w:rsid w:val="001700FA"/>
    <w:rsid w:val="00172CCC"/>
    <w:rsid w:val="001730B5"/>
    <w:rsid w:val="00182572"/>
    <w:rsid w:val="001B5434"/>
    <w:rsid w:val="001C0DF5"/>
    <w:rsid w:val="001C6FD5"/>
    <w:rsid w:val="001D5EF9"/>
    <w:rsid w:val="001D6AF2"/>
    <w:rsid w:val="002330B0"/>
    <w:rsid w:val="00254B11"/>
    <w:rsid w:val="00270C1A"/>
    <w:rsid w:val="002836F5"/>
    <w:rsid w:val="00294089"/>
    <w:rsid w:val="00295079"/>
    <w:rsid w:val="002B3984"/>
    <w:rsid w:val="002C6C0E"/>
    <w:rsid w:val="002E1BD5"/>
    <w:rsid w:val="002E47B9"/>
    <w:rsid w:val="003010A9"/>
    <w:rsid w:val="00335BA1"/>
    <w:rsid w:val="00337190"/>
    <w:rsid w:val="00351597"/>
    <w:rsid w:val="003628BF"/>
    <w:rsid w:val="003833FA"/>
    <w:rsid w:val="00395B35"/>
    <w:rsid w:val="003B439F"/>
    <w:rsid w:val="003B7830"/>
    <w:rsid w:val="003D1179"/>
    <w:rsid w:val="003D1A2A"/>
    <w:rsid w:val="004208D3"/>
    <w:rsid w:val="00442FD2"/>
    <w:rsid w:val="0044326D"/>
    <w:rsid w:val="004743CD"/>
    <w:rsid w:val="00486684"/>
    <w:rsid w:val="0049120A"/>
    <w:rsid w:val="004A1944"/>
    <w:rsid w:val="004B2EC0"/>
    <w:rsid w:val="00510FA3"/>
    <w:rsid w:val="005275EA"/>
    <w:rsid w:val="00532B10"/>
    <w:rsid w:val="005476B6"/>
    <w:rsid w:val="00572AA4"/>
    <w:rsid w:val="005A431A"/>
    <w:rsid w:val="005C0482"/>
    <w:rsid w:val="005C0D75"/>
    <w:rsid w:val="005C24DE"/>
    <w:rsid w:val="005C25C5"/>
    <w:rsid w:val="005F66ED"/>
    <w:rsid w:val="00601EC3"/>
    <w:rsid w:val="00602C42"/>
    <w:rsid w:val="00641BC9"/>
    <w:rsid w:val="006673CD"/>
    <w:rsid w:val="006739BA"/>
    <w:rsid w:val="00675565"/>
    <w:rsid w:val="00677C0F"/>
    <w:rsid w:val="0068154F"/>
    <w:rsid w:val="0069332F"/>
    <w:rsid w:val="006A5F28"/>
    <w:rsid w:val="006B2C9B"/>
    <w:rsid w:val="006B4FD0"/>
    <w:rsid w:val="006C36C3"/>
    <w:rsid w:val="006E1F42"/>
    <w:rsid w:val="0070046D"/>
    <w:rsid w:val="007113C4"/>
    <w:rsid w:val="00734F6E"/>
    <w:rsid w:val="007630F7"/>
    <w:rsid w:val="007705AA"/>
    <w:rsid w:val="007773CB"/>
    <w:rsid w:val="007810DF"/>
    <w:rsid w:val="00783868"/>
    <w:rsid w:val="00793326"/>
    <w:rsid w:val="007A3DFB"/>
    <w:rsid w:val="007B5BBB"/>
    <w:rsid w:val="007C352C"/>
    <w:rsid w:val="007F6CE0"/>
    <w:rsid w:val="00801680"/>
    <w:rsid w:val="0080239B"/>
    <w:rsid w:val="0080421F"/>
    <w:rsid w:val="00805CE2"/>
    <w:rsid w:val="008156CA"/>
    <w:rsid w:val="00824957"/>
    <w:rsid w:val="008460ED"/>
    <w:rsid w:val="0085208C"/>
    <w:rsid w:val="0085503C"/>
    <w:rsid w:val="00880C1E"/>
    <w:rsid w:val="008957F7"/>
    <w:rsid w:val="008B2015"/>
    <w:rsid w:val="008E02EB"/>
    <w:rsid w:val="00914218"/>
    <w:rsid w:val="00915DAF"/>
    <w:rsid w:val="009501BD"/>
    <w:rsid w:val="00965C86"/>
    <w:rsid w:val="0098223A"/>
    <w:rsid w:val="00994616"/>
    <w:rsid w:val="009C6E9B"/>
    <w:rsid w:val="009E0AB1"/>
    <w:rsid w:val="009E0F9C"/>
    <w:rsid w:val="009E39AE"/>
    <w:rsid w:val="009E50E2"/>
    <w:rsid w:val="009F303C"/>
    <w:rsid w:val="00A005B2"/>
    <w:rsid w:val="00A1071E"/>
    <w:rsid w:val="00A24981"/>
    <w:rsid w:val="00A4271B"/>
    <w:rsid w:val="00AA08B9"/>
    <w:rsid w:val="00AA3EFE"/>
    <w:rsid w:val="00AA568A"/>
    <w:rsid w:val="00AD3974"/>
    <w:rsid w:val="00AF4B43"/>
    <w:rsid w:val="00B24488"/>
    <w:rsid w:val="00B266E1"/>
    <w:rsid w:val="00B46AF8"/>
    <w:rsid w:val="00B46FE8"/>
    <w:rsid w:val="00B613AA"/>
    <w:rsid w:val="00B66D3B"/>
    <w:rsid w:val="00B91DA7"/>
    <w:rsid w:val="00B979EE"/>
    <w:rsid w:val="00BA5196"/>
    <w:rsid w:val="00BD0027"/>
    <w:rsid w:val="00BE2378"/>
    <w:rsid w:val="00BF0668"/>
    <w:rsid w:val="00BF46C6"/>
    <w:rsid w:val="00BF615C"/>
    <w:rsid w:val="00C21380"/>
    <w:rsid w:val="00C3436D"/>
    <w:rsid w:val="00C6584E"/>
    <w:rsid w:val="00C76413"/>
    <w:rsid w:val="00C859BB"/>
    <w:rsid w:val="00CB2C43"/>
    <w:rsid w:val="00CB69E0"/>
    <w:rsid w:val="00CD78AF"/>
    <w:rsid w:val="00CE231A"/>
    <w:rsid w:val="00CE415E"/>
    <w:rsid w:val="00CE4513"/>
    <w:rsid w:val="00CE7087"/>
    <w:rsid w:val="00CF03C2"/>
    <w:rsid w:val="00CF398E"/>
    <w:rsid w:val="00D25CA9"/>
    <w:rsid w:val="00D440E1"/>
    <w:rsid w:val="00D7164A"/>
    <w:rsid w:val="00DA7A3F"/>
    <w:rsid w:val="00DB556E"/>
    <w:rsid w:val="00DC2E13"/>
    <w:rsid w:val="00DC32C0"/>
    <w:rsid w:val="00DD2217"/>
    <w:rsid w:val="00DE12F0"/>
    <w:rsid w:val="00DF1557"/>
    <w:rsid w:val="00E11B34"/>
    <w:rsid w:val="00E20AB9"/>
    <w:rsid w:val="00E319B6"/>
    <w:rsid w:val="00E62810"/>
    <w:rsid w:val="00E70CAB"/>
    <w:rsid w:val="00E74382"/>
    <w:rsid w:val="00E903AB"/>
    <w:rsid w:val="00EB3A3B"/>
    <w:rsid w:val="00ED63AB"/>
    <w:rsid w:val="00EF792C"/>
    <w:rsid w:val="00F17F71"/>
    <w:rsid w:val="00F20B44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B7D46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  <w:style w:type="paragraph" w:styleId="af4">
    <w:name w:val="Balloon Text"/>
    <w:basedOn w:val="a"/>
    <w:link w:val="af5"/>
    <w:uiPriority w:val="99"/>
    <w:semiHidden/>
    <w:unhideWhenUsed/>
    <w:rsid w:val="0081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156C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BCDFF-B087-481E-AD5F-CB12B29F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10975</Words>
  <Characters>6256</Characters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2026-07-22T13:01:00Z</cp:lastPrinted>
  <dcterms:created xsi:type="dcterms:W3CDTF">2026-07-22T13:56:00Z</dcterms:created>
  <dcterms:modified xsi:type="dcterms:W3CDTF">2026-07-22T13:56:00Z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